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2FE85">
      <w:pPr>
        <w:pStyle w:val="2"/>
        <w:spacing w:line="320" w:lineRule="auto"/>
      </w:pPr>
    </w:p>
    <w:p w14:paraId="326A8926">
      <w:pPr>
        <w:spacing w:before="71" w:line="219" w:lineRule="auto"/>
        <w:ind w:left="43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b/>
          <w:bCs/>
          <w:spacing w:val="4"/>
          <w:sz w:val="22"/>
          <w:szCs w:val="22"/>
        </w:rPr>
        <w:t>附件1</w:t>
      </w:r>
      <w:r>
        <w:rPr>
          <w:rFonts w:hint="eastAsia" w:ascii="宋体" w:hAnsi="宋体" w:eastAsia="宋体" w:cs="宋体"/>
          <w:b/>
          <w:bCs/>
          <w:spacing w:val="4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pacing w:val="4"/>
          <w:sz w:val="22"/>
          <w:szCs w:val="22"/>
          <w:lang w:val="en-US" w:eastAsia="zh-CN"/>
        </w:rPr>
        <w:t>技术参数</w:t>
      </w:r>
    </w:p>
    <w:p w14:paraId="320EC19F">
      <w:pPr>
        <w:spacing w:line="99" w:lineRule="exact"/>
      </w:pPr>
    </w:p>
    <w:tbl>
      <w:tblPr>
        <w:tblStyle w:val="7"/>
        <w:tblW w:w="13810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489"/>
        <w:gridCol w:w="10687"/>
      </w:tblGrid>
      <w:tr w14:paraId="6F7E1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634" w:type="dxa"/>
            <w:vAlign w:val="top"/>
          </w:tcPr>
          <w:p w14:paraId="43761379">
            <w:pPr>
              <w:pStyle w:val="8"/>
              <w:spacing w:before="15" w:line="221" w:lineRule="auto"/>
              <w:ind w:left="58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系统</w:t>
            </w:r>
          </w:p>
        </w:tc>
        <w:tc>
          <w:tcPr>
            <w:tcW w:w="1489" w:type="dxa"/>
            <w:vAlign w:val="top"/>
          </w:tcPr>
          <w:p w14:paraId="769C3B9A">
            <w:pPr>
              <w:pStyle w:val="8"/>
              <w:spacing w:before="14" w:line="219" w:lineRule="auto"/>
              <w:ind w:left="3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功能模块</w:t>
            </w:r>
          </w:p>
        </w:tc>
        <w:tc>
          <w:tcPr>
            <w:tcW w:w="10687" w:type="dxa"/>
            <w:vAlign w:val="top"/>
          </w:tcPr>
          <w:p w14:paraId="06F5682D">
            <w:pPr>
              <w:pStyle w:val="8"/>
              <w:spacing w:before="12" w:line="219" w:lineRule="auto"/>
              <w:ind w:left="492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功能简介</w:t>
            </w:r>
          </w:p>
        </w:tc>
      </w:tr>
      <w:tr w14:paraId="39104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 w14:paraId="1D17C585">
            <w:pPr>
              <w:spacing w:line="244" w:lineRule="auto"/>
              <w:rPr>
                <w:rFonts w:ascii="Arial"/>
                <w:sz w:val="21"/>
              </w:rPr>
            </w:pPr>
          </w:p>
          <w:p w14:paraId="5DDBE71F">
            <w:pPr>
              <w:spacing w:line="244" w:lineRule="auto"/>
              <w:rPr>
                <w:rFonts w:ascii="Arial"/>
                <w:sz w:val="21"/>
              </w:rPr>
            </w:pPr>
          </w:p>
          <w:p w14:paraId="27524C60">
            <w:pPr>
              <w:spacing w:line="244" w:lineRule="auto"/>
              <w:rPr>
                <w:rFonts w:ascii="Arial"/>
                <w:sz w:val="21"/>
              </w:rPr>
            </w:pPr>
          </w:p>
          <w:p w14:paraId="0087D0D9">
            <w:pPr>
              <w:spacing w:line="244" w:lineRule="auto"/>
              <w:rPr>
                <w:rFonts w:ascii="Arial"/>
                <w:sz w:val="21"/>
              </w:rPr>
            </w:pPr>
          </w:p>
          <w:p w14:paraId="3B4DE9F6">
            <w:pPr>
              <w:spacing w:line="244" w:lineRule="auto"/>
              <w:rPr>
                <w:rFonts w:ascii="Arial"/>
                <w:sz w:val="21"/>
              </w:rPr>
            </w:pPr>
          </w:p>
          <w:p w14:paraId="4D9D7DF9">
            <w:pPr>
              <w:spacing w:line="244" w:lineRule="auto"/>
              <w:rPr>
                <w:rFonts w:ascii="Arial"/>
                <w:sz w:val="21"/>
              </w:rPr>
            </w:pPr>
          </w:p>
          <w:p w14:paraId="2639ABD7">
            <w:pPr>
              <w:spacing w:line="244" w:lineRule="auto"/>
              <w:rPr>
                <w:rFonts w:ascii="Arial"/>
                <w:sz w:val="21"/>
              </w:rPr>
            </w:pPr>
          </w:p>
          <w:p w14:paraId="3B209FE1">
            <w:pPr>
              <w:spacing w:line="244" w:lineRule="auto"/>
              <w:rPr>
                <w:rFonts w:ascii="Arial"/>
                <w:sz w:val="21"/>
              </w:rPr>
            </w:pPr>
          </w:p>
          <w:p w14:paraId="5054FEEA">
            <w:pPr>
              <w:spacing w:line="244" w:lineRule="auto"/>
              <w:rPr>
                <w:rFonts w:ascii="Arial"/>
                <w:sz w:val="21"/>
              </w:rPr>
            </w:pPr>
          </w:p>
          <w:p w14:paraId="515211A0">
            <w:pPr>
              <w:spacing w:line="244" w:lineRule="auto"/>
              <w:rPr>
                <w:rFonts w:ascii="Arial"/>
                <w:sz w:val="21"/>
              </w:rPr>
            </w:pPr>
          </w:p>
          <w:p w14:paraId="0ED2987C">
            <w:pPr>
              <w:spacing w:line="244" w:lineRule="auto"/>
              <w:rPr>
                <w:rFonts w:ascii="Arial"/>
                <w:sz w:val="21"/>
              </w:rPr>
            </w:pPr>
          </w:p>
          <w:p w14:paraId="413EACDD">
            <w:pPr>
              <w:spacing w:line="244" w:lineRule="auto"/>
              <w:rPr>
                <w:rFonts w:ascii="Arial"/>
                <w:sz w:val="21"/>
              </w:rPr>
            </w:pPr>
          </w:p>
          <w:p w14:paraId="797651C4">
            <w:pPr>
              <w:spacing w:line="244" w:lineRule="auto"/>
              <w:rPr>
                <w:rFonts w:ascii="Arial"/>
                <w:sz w:val="21"/>
              </w:rPr>
            </w:pPr>
          </w:p>
          <w:p w14:paraId="7F2D01C0">
            <w:pPr>
              <w:spacing w:line="245" w:lineRule="auto"/>
              <w:rPr>
                <w:rFonts w:ascii="Arial"/>
                <w:sz w:val="21"/>
              </w:rPr>
            </w:pPr>
          </w:p>
          <w:p w14:paraId="60F766D3">
            <w:pPr>
              <w:pStyle w:val="8"/>
              <w:spacing w:before="72" w:line="221" w:lineRule="auto"/>
              <w:ind w:left="4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LIS系统</w:t>
            </w:r>
          </w:p>
        </w:tc>
        <w:tc>
          <w:tcPr>
            <w:tcW w:w="1489" w:type="dxa"/>
            <w:vAlign w:val="top"/>
          </w:tcPr>
          <w:p w14:paraId="0DEA32EE">
            <w:pPr>
              <w:spacing w:line="254" w:lineRule="auto"/>
              <w:rPr>
                <w:rFonts w:ascii="Arial"/>
                <w:sz w:val="21"/>
              </w:rPr>
            </w:pPr>
          </w:p>
          <w:p w14:paraId="41D33C11">
            <w:pPr>
              <w:spacing w:line="254" w:lineRule="auto"/>
              <w:rPr>
                <w:rFonts w:ascii="Arial"/>
                <w:sz w:val="21"/>
              </w:rPr>
            </w:pPr>
          </w:p>
          <w:p w14:paraId="097AC884">
            <w:pPr>
              <w:spacing w:line="255" w:lineRule="auto"/>
              <w:rPr>
                <w:rFonts w:ascii="Arial"/>
                <w:sz w:val="21"/>
              </w:rPr>
            </w:pPr>
          </w:p>
          <w:p w14:paraId="4A5460B7">
            <w:pPr>
              <w:spacing w:line="255" w:lineRule="auto"/>
              <w:rPr>
                <w:rFonts w:ascii="Arial"/>
                <w:sz w:val="21"/>
              </w:rPr>
            </w:pPr>
          </w:p>
          <w:p w14:paraId="664CBC8A">
            <w:pPr>
              <w:spacing w:line="255" w:lineRule="auto"/>
              <w:rPr>
                <w:rFonts w:ascii="Arial"/>
                <w:sz w:val="21"/>
              </w:rPr>
            </w:pPr>
          </w:p>
          <w:p w14:paraId="6285BCDF">
            <w:pPr>
              <w:spacing w:line="255" w:lineRule="auto"/>
              <w:rPr>
                <w:rFonts w:ascii="Arial"/>
                <w:sz w:val="21"/>
              </w:rPr>
            </w:pPr>
          </w:p>
          <w:p w14:paraId="358195F6">
            <w:pPr>
              <w:pStyle w:val="8"/>
              <w:spacing w:before="71" w:line="219" w:lineRule="auto"/>
              <w:ind w:left="1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检验申请</w:t>
            </w:r>
          </w:p>
        </w:tc>
        <w:tc>
          <w:tcPr>
            <w:tcW w:w="10687" w:type="dxa"/>
            <w:vAlign w:val="top"/>
          </w:tcPr>
          <w:p w14:paraId="690DA9A6">
            <w:pPr>
              <w:pStyle w:val="8"/>
              <w:spacing w:before="29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1.通过和HIS建立无缝连接，可以直接读取HIS中的检验申请单。</w:t>
            </w:r>
          </w:p>
          <w:p w14:paraId="13769972">
            <w:pPr>
              <w:pStyle w:val="8"/>
              <w:spacing w:before="58"/>
              <w:ind w:left="510" w:hanging="42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  支持自动获取包括申请科室、申请医生、申请日期、检验项目、标本类型、费用及是否急诊等检验申请及相关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信息。</w:t>
            </w:r>
          </w:p>
          <w:p w14:paraId="01356613">
            <w:pPr>
              <w:pStyle w:val="8"/>
              <w:spacing w:before="67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3.支持打印条形码作为检验过程中的纸质申请依据。</w:t>
            </w:r>
          </w:p>
          <w:p w14:paraId="49AD21A2">
            <w:pPr>
              <w:pStyle w:val="8"/>
              <w:spacing w:before="39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4.患者信息列表可以按照住院号、申请时间、姓名、床号、条码、科室、医生等任意列进行排序。</w:t>
            </w:r>
          </w:p>
          <w:p w14:paraId="28A6452A">
            <w:pPr>
              <w:pStyle w:val="8"/>
              <w:spacing w:before="59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5.可以对申请项目种类进行默认标本类型设定。</w:t>
            </w:r>
          </w:p>
          <w:p w14:paraId="0F3C1547">
            <w:pPr>
              <w:pStyle w:val="8"/>
              <w:spacing w:before="60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6.可以对申请项目进行撤销。</w:t>
            </w:r>
          </w:p>
          <w:p w14:paraId="5F47F446">
            <w:pPr>
              <w:pStyle w:val="8"/>
              <w:spacing w:before="29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 支持从体检系统中获取检验申请，及受检人相关信息。支持快速批量录入检验申</w:t>
            </w:r>
            <w:r>
              <w:rPr>
                <w:spacing w:val="-1"/>
                <w:sz w:val="22"/>
                <w:szCs w:val="22"/>
              </w:rPr>
              <w:t>请。</w:t>
            </w:r>
          </w:p>
          <w:p w14:paraId="798316C2">
            <w:pPr>
              <w:pStyle w:val="8"/>
              <w:spacing w:before="39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 通过导入送检单位编辑好的固定格式的EXCEL表来获取检验申请。</w:t>
            </w:r>
          </w:p>
          <w:p w14:paraId="187CC2CB">
            <w:pPr>
              <w:pStyle w:val="8"/>
              <w:spacing w:before="57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 LIS系统向HIS返回标本检验状态，以及记费状态、确认费用、退费信</w:t>
            </w:r>
            <w:r>
              <w:rPr>
                <w:spacing w:val="-1"/>
                <w:sz w:val="22"/>
                <w:szCs w:val="22"/>
              </w:rPr>
              <w:t>息。</w:t>
            </w:r>
          </w:p>
          <w:p w14:paraId="78A2712E">
            <w:pPr>
              <w:pStyle w:val="8"/>
              <w:spacing w:before="70" w:line="215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10.LIS系统向HIS返回检验结果信息。</w:t>
            </w:r>
          </w:p>
        </w:tc>
      </w:tr>
      <w:tr w14:paraId="6C220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1634" w:type="dxa"/>
            <w:vMerge w:val="continue"/>
            <w:tcBorders>
              <w:top w:val="nil"/>
              <w:bottom w:val="nil"/>
            </w:tcBorders>
            <w:vAlign w:val="top"/>
          </w:tcPr>
          <w:p w14:paraId="48812E42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5374122F">
            <w:pPr>
              <w:spacing w:line="258" w:lineRule="auto"/>
              <w:rPr>
                <w:rFonts w:ascii="Arial"/>
                <w:sz w:val="21"/>
              </w:rPr>
            </w:pPr>
          </w:p>
          <w:p w14:paraId="6DC22336">
            <w:pPr>
              <w:spacing w:line="258" w:lineRule="auto"/>
              <w:rPr>
                <w:rFonts w:ascii="Arial"/>
                <w:sz w:val="21"/>
              </w:rPr>
            </w:pPr>
          </w:p>
          <w:p w14:paraId="2D8D30FA">
            <w:pPr>
              <w:spacing w:line="259" w:lineRule="auto"/>
              <w:rPr>
                <w:rFonts w:ascii="Arial"/>
                <w:sz w:val="21"/>
              </w:rPr>
            </w:pPr>
          </w:p>
          <w:p w14:paraId="542CF280">
            <w:pPr>
              <w:spacing w:line="259" w:lineRule="auto"/>
              <w:rPr>
                <w:rFonts w:ascii="Arial"/>
                <w:sz w:val="21"/>
              </w:rPr>
            </w:pPr>
          </w:p>
          <w:p w14:paraId="0D5DC23C">
            <w:pPr>
              <w:spacing w:line="259" w:lineRule="auto"/>
              <w:rPr>
                <w:rFonts w:ascii="Arial"/>
                <w:sz w:val="21"/>
              </w:rPr>
            </w:pPr>
          </w:p>
          <w:p w14:paraId="67842C7B">
            <w:pPr>
              <w:pStyle w:val="8"/>
              <w:spacing w:before="71" w:line="219" w:lineRule="auto"/>
              <w:ind w:left="1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标本核收</w:t>
            </w:r>
          </w:p>
        </w:tc>
        <w:tc>
          <w:tcPr>
            <w:tcW w:w="10687" w:type="dxa"/>
            <w:vAlign w:val="top"/>
          </w:tcPr>
          <w:p w14:paraId="70DC14D0">
            <w:pPr>
              <w:pStyle w:val="8"/>
              <w:spacing w:before="42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1.支持扫码接收标本。</w:t>
            </w:r>
          </w:p>
          <w:p w14:paraId="71105D38">
            <w:pPr>
              <w:pStyle w:val="8"/>
              <w:spacing w:before="39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2.支持标本核收时，自动通过接口完成计费操作。</w:t>
            </w:r>
          </w:p>
          <w:p w14:paraId="729A3849">
            <w:pPr>
              <w:pStyle w:val="8"/>
              <w:spacing w:before="47" w:line="216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3.支持在临床科室或者检验科打印标本交接单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sz w:val="22"/>
                <w:szCs w:val="22"/>
              </w:rPr>
              <w:t>标本收取凭证</w:t>
            </w:r>
            <w:r>
              <w:rPr>
                <w:rFonts w:hint="eastAsia"/>
                <w:sz w:val="22"/>
                <w:szCs w:val="22"/>
                <w:lang w:eastAsia="zh-CN"/>
              </w:rPr>
              <w:t>），</w:t>
            </w:r>
            <w:r>
              <w:rPr>
                <w:sz w:val="22"/>
                <w:szCs w:val="22"/>
              </w:rPr>
              <w:t>双方可以签字确</w:t>
            </w:r>
            <w:r>
              <w:rPr>
                <w:spacing w:val="-1"/>
                <w:sz w:val="22"/>
                <w:szCs w:val="22"/>
              </w:rPr>
              <w:t>认。</w:t>
            </w:r>
          </w:p>
          <w:p w14:paraId="795AB58C">
            <w:pPr>
              <w:pStyle w:val="8"/>
              <w:spacing w:before="34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4.支持条码拒收，对于不合格的标本，可进行拒收操作，并登记拒收信息。</w:t>
            </w:r>
          </w:p>
          <w:p w14:paraId="26B2C5E6">
            <w:pPr>
              <w:pStyle w:val="8"/>
              <w:spacing w:before="138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5.支持按接收人统计接收清单，具备打印功能，方便物流人员与检验科接收人交接。</w:t>
            </w:r>
          </w:p>
          <w:p w14:paraId="0083796C">
            <w:pPr>
              <w:pStyle w:val="8"/>
              <w:spacing w:before="129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6.支持通过扫描二维码对接第三方平台接收标本功能，具体内容需和平台商</w:t>
            </w:r>
            <w:r>
              <w:rPr>
                <w:spacing w:val="-1"/>
                <w:sz w:val="22"/>
                <w:szCs w:val="22"/>
              </w:rPr>
              <w:t>议。</w:t>
            </w:r>
          </w:p>
          <w:p w14:paraId="50B3053F">
            <w:pPr>
              <w:pStyle w:val="8"/>
              <w:spacing w:before="179" w:line="269" w:lineRule="auto"/>
              <w:ind w:left="102" w:right="8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7.具备打包接收功能，护士站对标本进行打包，到达检验科后，利用打包码批量接收。降低工作</w:t>
            </w:r>
            <w:r>
              <w:rPr>
                <w:spacing w:val="-1"/>
                <w:sz w:val="22"/>
                <w:szCs w:val="22"/>
              </w:rPr>
              <w:t>量。</w:t>
            </w:r>
            <w:r>
              <w:rPr>
                <w:sz w:val="22"/>
                <w:szCs w:val="22"/>
              </w:rPr>
              <w:t xml:space="preserve"> 8.支持特殊登记，对于标本有问题，确需继续检验的，可以进行让步检验登记，标记让步原</w:t>
            </w:r>
            <w:r>
              <w:rPr>
                <w:spacing w:val="-1"/>
                <w:sz w:val="22"/>
                <w:szCs w:val="22"/>
              </w:rPr>
              <w:t>因。</w:t>
            </w:r>
          </w:p>
        </w:tc>
      </w:tr>
      <w:tr w14:paraId="3439B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 w14:paraId="753DD8FE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39D13F1F">
            <w:pPr>
              <w:pStyle w:val="8"/>
              <w:spacing w:before="306" w:line="219" w:lineRule="auto"/>
              <w:ind w:left="1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标本检验</w:t>
            </w:r>
          </w:p>
        </w:tc>
        <w:tc>
          <w:tcPr>
            <w:tcW w:w="10687" w:type="dxa"/>
            <w:vAlign w:val="top"/>
          </w:tcPr>
          <w:p w14:paraId="022DC78D">
            <w:pPr>
              <w:pStyle w:val="8"/>
              <w:spacing w:before="16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自动接收并保存实验数据，可自动判断并按</w:t>
            </w:r>
            <w:r>
              <w:rPr>
                <w:spacing w:val="-2"/>
                <w:sz w:val="22"/>
                <w:szCs w:val="22"/>
              </w:rPr>
              <w:t>照常规、急诊标本进行区分。</w:t>
            </w:r>
          </w:p>
          <w:p w14:paraId="6879D3CF">
            <w:pPr>
              <w:pStyle w:val="8"/>
              <w:spacing w:before="150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自动计算结果、自动根据患者信息判断对应的参考范围、自动判断结果状态，并以显著的颜色加以区分。</w:t>
            </w:r>
          </w:p>
        </w:tc>
      </w:tr>
    </w:tbl>
    <w:p w14:paraId="0900EF7F">
      <w:pPr>
        <w:pStyle w:val="2"/>
      </w:pPr>
    </w:p>
    <w:p w14:paraId="13177A53">
      <w:pPr>
        <w:sectPr>
          <w:headerReference r:id="rId5" w:type="default"/>
          <w:pgSz w:w="16830" w:h="11900"/>
          <w:pgMar w:top="1080" w:right="1554" w:bottom="0" w:left="1330" w:header="1060" w:footer="0" w:gutter="0"/>
          <w:pgNumType w:fmt="decimal"/>
          <w:cols w:space="720" w:num="1"/>
        </w:sectPr>
      </w:pPr>
    </w:p>
    <w:p w14:paraId="39ED6F2A">
      <w:pPr>
        <w:spacing w:before="91"/>
      </w:pPr>
    </w:p>
    <w:p w14:paraId="63A0198F">
      <w:pPr>
        <w:spacing w:before="91"/>
      </w:pPr>
    </w:p>
    <w:tbl>
      <w:tblPr>
        <w:tblStyle w:val="7"/>
        <w:tblW w:w="13810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499"/>
        <w:gridCol w:w="10677"/>
      </w:tblGrid>
      <w:tr w14:paraId="1B40B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 w14:paraId="638DE22A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0C0BA0DA">
            <w:pPr>
              <w:rPr>
                <w:rFonts w:ascii="Arial"/>
                <w:sz w:val="21"/>
              </w:rPr>
            </w:pPr>
          </w:p>
        </w:tc>
        <w:tc>
          <w:tcPr>
            <w:tcW w:w="10677" w:type="dxa"/>
            <w:vAlign w:val="top"/>
          </w:tcPr>
          <w:p w14:paraId="7F0E69DC">
            <w:pPr>
              <w:pStyle w:val="8"/>
              <w:spacing w:before="23" w:line="285" w:lineRule="auto"/>
              <w:ind w:left="121" w:right="2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3.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自动绘制血细胞分析直方图、散点图；血流变切变率图；糖化直方图；流式细胞仪直方图、散点图；PCR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；</w:t>
            </w:r>
            <w:r>
              <w:rPr>
                <w:spacing w:val="-1"/>
                <w:sz w:val="21"/>
                <w:szCs w:val="21"/>
              </w:rPr>
              <w:t>糖耐</w:t>
            </w:r>
            <w:r>
              <w:rPr>
                <w:sz w:val="21"/>
                <w:szCs w:val="21"/>
              </w:rPr>
              <w:t xml:space="preserve"> 量曲线图；精子运动速度、路径、分级等直方图等图形。</w:t>
            </w:r>
          </w:p>
          <w:p w14:paraId="2E66DC54">
            <w:pPr>
              <w:pStyle w:val="8"/>
              <w:spacing w:before="162" w:line="219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4.</w:t>
            </w:r>
            <w:r>
              <w:rPr>
                <w:spacing w:val="-6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自动获取尿沉渣、病理、TCT、染色体、</w:t>
            </w:r>
            <w:r>
              <w:rPr>
                <w:spacing w:val="-2"/>
                <w:sz w:val="21"/>
                <w:szCs w:val="21"/>
              </w:rPr>
              <w:t>过敏源等仪器的图形结果。</w:t>
            </w:r>
          </w:p>
          <w:p w14:paraId="0DB2BFDC">
            <w:pPr>
              <w:pStyle w:val="8"/>
              <w:spacing w:before="159" w:line="219" w:lineRule="auto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5.对于电解质以及乙肝两对半等项目，支持批量录入结果，使得繁琐的工作简单化，快速化。</w:t>
            </w:r>
          </w:p>
          <w:p w14:paraId="07C76C9C">
            <w:pPr>
              <w:pStyle w:val="8"/>
              <w:spacing w:before="162" w:line="219" w:lineRule="auto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6.对于异常数据支持批量修改、批量校正结果，支持批量增加手工项目。</w:t>
            </w:r>
          </w:p>
          <w:p w14:paraId="119B74E9">
            <w:pPr>
              <w:pStyle w:val="8"/>
              <w:spacing w:before="169" w:line="219" w:lineRule="auto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7.支持批量修改标本号，快速纠正仪器或登记错误造成的标本号偏移。</w:t>
            </w:r>
          </w:p>
          <w:p w14:paraId="142C82EB">
            <w:pPr>
              <w:pStyle w:val="8"/>
              <w:spacing w:before="140" w:line="218" w:lineRule="auto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8.支持表格设置，可以对患者信息、报告列表表头进行设置，满足科室老师对信息显示顺序、内容的要求。</w:t>
            </w:r>
          </w:p>
          <w:p w14:paraId="1381F7AB">
            <w:pPr>
              <w:pStyle w:val="8"/>
              <w:spacing w:before="142" w:line="219" w:lineRule="auto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9.支持复查登记，对于进行复查登记，登记内容包括原始结果、复查结果及标本信息等。</w:t>
            </w:r>
          </w:p>
        </w:tc>
      </w:tr>
      <w:tr w14:paraId="4C23D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9" w:hRule="atLeast"/>
        </w:trPr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 w14:paraId="5EB2A4D2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07CC4D90">
            <w:pPr>
              <w:spacing w:line="256" w:lineRule="auto"/>
              <w:rPr>
                <w:rFonts w:ascii="Arial"/>
                <w:sz w:val="21"/>
              </w:rPr>
            </w:pPr>
          </w:p>
          <w:p w14:paraId="0B5F083D">
            <w:pPr>
              <w:spacing w:line="256" w:lineRule="auto"/>
              <w:rPr>
                <w:rFonts w:ascii="Arial"/>
                <w:sz w:val="21"/>
              </w:rPr>
            </w:pPr>
          </w:p>
          <w:p w14:paraId="48C4BA5B">
            <w:pPr>
              <w:spacing w:line="256" w:lineRule="auto"/>
              <w:rPr>
                <w:rFonts w:ascii="Arial"/>
                <w:sz w:val="21"/>
              </w:rPr>
            </w:pPr>
          </w:p>
          <w:p w14:paraId="6C570FD6">
            <w:pPr>
              <w:spacing w:line="256" w:lineRule="auto"/>
              <w:rPr>
                <w:rFonts w:ascii="Arial"/>
                <w:sz w:val="21"/>
              </w:rPr>
            </w:pPr>
          </w:p>
          <w:p w14:paraId="1752ED49">
            <w:pPr>
              <w:spacing w:line="256" w:lineRule="auto"/>
              <w:rPr>
                <w:rFonts w:ascii="Arial"/>
                <w:sz w:val="21"/>
              </w:rPr>
            </w:pPr>
          </w:p>
          <w:p w14:paraId="074A6900">
            <w:pPr>
              <w:spacing w:line="257" w:lineRule="auto"/>
              <w:rPr>
                <w:rFonts w:ascii="Arial"/>
                <w:sz w:val="21"/>
              </w:rPr>
            </w:pPr>
          </w:p>
          <w:p w14:paraId="673559CE">
            <w:pPr>
              <w:spacing w:line="257" w:lineRule="auto"/>
              <w:rPr>
                <w:rFonts w:ascii="Arial"/>
                <w:sz w:val="21"/>
              </w:rPr>
            </w:pPr>
          </w:p>
          <w:p w14:paraId="4D72D0EE">
            <w:pPr>
              <w:spacing w:line="257" w:lineRule="auto"/>
              <w:rPr>
                <w:rFonts w:ascii="Arial"/>
                <w:sz w:val="21"/>
              </w:rPr>
            </w:pPr>
          </w:p>
          <w:p w14:paraId="6AC50FB2">
            <w:pPr>
              <w:pStyle w:val="8"/>
              <w:spacing w:before="68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审核发布</w:t>
            </w:r>
          </w:p>
        </w:tc>
        <w:tc>
          <w:tcPr>
            <w:tcW w:w="10677" w:type="dxa"/>
            <w:vAlign w:val="top"/>
          </w:tcPr>
          <w:p w14:paraId="1491117B">
            <w:pPr>
              <w:pStyle w:val="8"/>
              <w:spacing w:before="23" w:line="287" w:lineRule="auto"/>
              <w:ind w:left="121" w:right="41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1.提供既往检验结果查询和比较功能，支持数值型检验历史结果的图形化展现，支持文字型检验历史结果的对照显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示</w:t>
            </w:r>
            <w:r>
              <w:rPr>
                <w:spacing w:val="5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；</w:t>
            </w:r>
          </w:p>
          <w:p w14:paraId="5306D999">
            <w:pPr>
              <w:pStyle w:val="8"/>
              <w:spacing w:before="157" w:line="219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</w:t>
            </w:r>
            <w:r>
              <w:rPr>
                <w:spacing w:val="-6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自动显示同一患者的最近一次结果，也可以直接查看单个或者全部项目的历次结果。</w:t>
            </w:r>
          </w:p>
          <w:p w14:paraId="190AC978">
            <w:pPr>
              <w:pStyle w:val="8"/>
              <w:spacing w:before="179" w:line="219" w:lineRule="auto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3.提供记录和比对标本复查前后的结果的功能。</w:t>
            </w:r>
          </w:p>
          <w:p w14:paraId="272A689E">
            <w:pPr>
              <w:pStyle w:val="8"/>
              <w:spacing w:before="152" w:line="219" w:lineRule="auto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4.支持手工更改结果，支持显示修改前后所有内容。</w:t>
            </w:r>
          </w:p>
          <w:p w14:paraId="1D7ABBDD">
            <w:pPr>
              <w:pStyle w:val="8"/>
              <w:spacing w:before="150" w:line="219" w:lineRule="auto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5.可查看对应项目的检验仪器及其提示的异常信息等。</w:t>
            </w:r>
          </w:p>
          <w:p w14:paraId="42DCE18C">
            <w:pPr>
              <w:pStyle w:val="8"/>
              <w:spacing w:before="149" w:line="219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6.可查看检验项目的临床意义，包括项目的高低值代表的不同意义，新开展的项目信息等</w:t>
            </w:r>
            <w:r>
              <w:rPr>
                <w:spacing w:val="-1"/>
                <w:sz w:val="21"/>
                <w:szCs w:val="21"/>
              </w:rPr>
              <w:t>情况，能随时提供给临床</w:t>
            </w:r>
          </w:p>
          <w:p w14:paraId="0054A623">
            <w:pPr>
              <w:pStyle w:val="8"/>
              <w:spacing w:before="193" w:line="219" w:lineRule="auto"/>
              <w:ind w:left="12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便于查询。</w:t>
            </w:r>
          </w:p>
          <w:p w14:paraId="58BCDC5B">
            <w:pPr>
              <w:pStyle w:val="8"/>
              <w:spacing w:before="109" w:line="218" w:lineRule="auto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7.支持单个、批量审核报告；自动判断漏项、空项、负值等验证，做出明显提示。</w:t>
            </w:r>
          </w:p>
          <w:p w14:paraId="0B3E8529">
            <w:pPr>
              <w:pStyle w:val="8"/>
              <w:spacing w:before="172" w:line="218" w:lineRule="auto"/>
              <w:ind w:left="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8.支持当前病人其他报告功能，按门诊住院号查询其他检验报告</w:t>
            </w:r>
          </w:p>
          <w:p w14:paraId="21CC4A42">
            <w:pPr>
              <w:pStyle w:val="8"/>
              <w:spacing w:before="162" w:line="219" w:lineRule="auto"/>
              <w:ind w:left="1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9.支持简单的审核规则设置功能，根据设置的规则进行审核判断</w:t>
            </w:r>
          </w:p>
        </w:tc>
      </w:tr>
    </w:tbl>
    <w:p w14:paraId="591B2708">
      <w:pPr>
        <w:pStyle w:val="2"/>
      </w:pPr>
    </w:p>
    <w:p w14:paraId="0B829EF4">
      <w:pPr>
        <w:sectPr>
          <w:headerReference r:id="rId6" w:type="default"/>
          <w:pgSz w:w="16830" w:h="11900"/>
          <w:pgMar w:top="1050" w:right="1534" w:bottom="0" w:left="1360" w:header="1029" w:footer="0" w:gutter="0"/>
          <w:cols w:space="720" w:num="1"/>
        </w:sectPr>
      </w:pPr>
    </w:p>
    <w:p w14:paraId="52C4DA1E">
      <w:pPr>
        <w:spacing w:before="101"/>
      </w:pPr>
    </w:p>
    <w:p w14:paraId="639E0E13">
      <w:pPr>
        <w:spacing w:before="101"/>
      </w:pPr>
    </w:p>
    <w:tbl>
      <w:tblPr>
        <w:tblStyle w:val="7"/>
        <w:tblW w:w="13835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489"/>
        <w:gridCol w:w="10702"/>
      </w:tblGrid>
      <w:tr w14:paraId="587C2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1644" w:type="dxa"/>
            <w:vMerge w:val="restart"/>
            <w:tcBorders>
              <w:bottom w:val="nil"/>
            </w:tcBorders>
            <w:vAlign w:val="top"/>
          </w:tcPr>
          <w:p w14:paraId="2E53D6D7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341B8AD3">
            <w:pPr>
              <w:spacing w:line="255" w:lineRule="auto"/>
              <w:rPr>
                <w:rFonts w:ascii="Arial"/>
                <w:sz w:val="21"/>
              </w:rPr>
            </w:pPr>
          </w:p>
          <w:p w14:paraId="42B335B7">
            <w:pPr>
              <w:spacing w:line="255" w:lineRule="auto"/>
              <w:rPr>
                <w:rFonts w:ascii="Arial"/>
                <w:sz w:val="21"/>
              </w:rPr>
            </w:pPr>
          </w:p>
          <w:p w14:paraId="101167BE">
            <w:pPr>
              <w:spacing w:line="255" w:lineRule="auto"/>
              <w:rPr>
                <w:rFonts w:ascii="Arial"/>
                <w:sz w:val="21"/>
              </w:rPr>
            </w:pPr>
          </w:p>
          <w:p w14:paraId="28738178">
            <w:pPr>
              <w:spacing w:line="255" w:lineRule="auto"/>
              <w:rPr>
                <w:rFonts w:ascii="Arial"/>
                <w:sz w:val="21"/>
              </w:rPr>
            </w:pPr>
          </w:p>
          <w:p w14:paraId="1D21FCC2">
            <w:pPr>
              <w:spacing w:line="255" w:lineRule="auto"/>
              <w:rPr>
                <w:rFonts w:ascii="Arial"/>
                <w:sz w:val="21"/>
              </w:rPr>
            </w:pPr>
          </w:p>
          <w:p w14:paraId="2D0F2686">
            <w:pPr>
              <w:spacing w:line="256" w:lineRule="auto"/>
              <w:rPr>
                <w:rFonts w:ascii="Arial"/>
                <w:sz w:val="21"/>
              </w:rPr>
            </w:pPr>
          </w:p>
          <w:p w14:paraId="5778DF40">
            <w:pPr>
              <w:pStyle w:val="8"/>
              <w:spacing w:before="71" w:line="218" w:lineRule="auto"/>
              <w:ind w:left="7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报告管理系统</w:t>
            </w:r>
          </w:p>
        </w:tc>
        <w:tc>
          <w:tcPr>
            <w:tcW w:w="10702" w:type="dxa"/>
            <w:vAlign w:val="top"/>
          </w:tcPr>
          <w:p w14:paraId="6ED08D60">
            <w:pPr>
              <w:pStyle w:val="8"/>
              <w:spacing w:before="34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1.支持多种格式的纸张，如A4、A5、B5等；</w:t>
            </w:r>
          </w:p>
          <w:p w14:paraId="76C32211">
            <w:pPr>
              <w:pStyle w:val="8"/>
              <w:spacing w:before="9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2.可以根据打印检验项目的多少自动变换单打印或者双列打印模式，使报表整体更美观、更协</w:t>
            </w:r>
            <w:r>
              <w:rPr>
                <w:spacing w:val="-1"/>
                <w:sz w:val="22"/>
                <w:szCs w:val="22"/>
              </w:rPr>
              <w:t>调。</w:t>
            </w:r>
          </w:p>
          <w:p w14:paraId="1633DA01">
            <w:pPr>
              <w:pStyle w:val="8"/>
              <w:spacing w:before="78" w:line="251" w:lineRule="auto"/>
              <w:ind w:left="462" w:hanging="3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3.打印</w:t>
            </w:r>
            <w:r>
              <w:rPr>
                <w:rFonts w:hint="eastAsia"/>
                <w:spacing w:val="-4"/>
                <w:sz w:val="22"/>
                <w:szCs w:val="22"/>
                <w:lang w:eastAsia="zh-CN"/>
              </w:rPr>
              <w:t>模板</w:t>
            </w:r>
            <w:r>
              <w:rPr>
                <w:spacing w:val="-4"/>
                <w:sz w:val="22"/>
                <w:szCs w:val="22"/>
              </w:rPr>
              <w:t>储存在数据库中，只需调整、修改一次，无需每个工作站都做修改，可在任意一个工作站调用并</w:t>
            </w:r>
            <w:r>
              <w:rPr>
                <w:spacing w:val="-5"/>
                <w:sz w:val="22"/>
                <w:szCs w:val="22"/>
              </w:rPr>
              <w:t>打印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其他工作站的检验报告。</w:t>
            </w:r>
          </w:p>
          <w:p w14:paraId="3563EA61">
            <w:pPr>
              <w:pStyle w:val="8"/>
              <w:spacing w:before="19" w:line="252" w:lineRule="auto"/>
              <w:ind w:left="451" w:hanging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4.能单个或者批量打印检验报告；可以通过查询门诊号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sz w:val="22"/>
                <w:szCs w:val="22"/>
              </w:rPr>
              <w:t>病历号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sz w:val="22"/>
                <w:szCs w:val="22"/>
              </w:rPr>
              <w:t>或者姓名的方式批量打印该患者一定时间段内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的所有检验报告。</w:t>
            </w:r>
          </w:p>
          <w:p w14:paraId="34258DC4">
            <w:pPr>
              <w:pStyle w:val="8"/>
              <w:spacing w:before="60" w:line="218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5.统一科室检验报告单纸张以及格式。</w:t>
            </w:r>
          </w:p>
          <w:p w14:paraId="472FD98E">
            <w:pPr>
              <w:pStyle w:val="8"/>
              <w:spacing w:before="52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6.支持电子签名。</w:t>
            </w:r>
          </w:p>
          <w:p w14:paraId="683B4525">
            <w:pPr>
              <w:pStyle w:val="8"/>
              <w:spacing w:before="59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7.支持防伪码功能，为了防止结果被恶意篡改。</w:t>
            </w:r>
          </w:p>
          <w:p w14:paraId="56EC339D">
            <w:pPr>
              <w:pStyle w:val="8"/>
              <w:spacing w:before="46" w:line="218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8.支持标本及糖耐量报告单合并。</w:t>
            </w:r>
          </w:p>
          <w:p w14:paraId="326DB983">
            <w:pPr>
              <w:pStyle w:val="8"/>
              <w:spacing w:before="30" w:line="218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9.支持糖耐量等项目的图文报告。</w:t>
            </w:r>
          </w:p>
        </w:tc>
      </w:tr>
      <w:tr w14:paraId="19A52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1644" w:type="dxa"/>
            <w:vMerge w:val="continue"/>
            <w:tcBorders>
              <w:top w:val="nil"/>
            </w:tcBorders>
            <w:vAlign w:val="top"/>
          </w:tcPr>
          <w:p w14:paraId="2A5DF501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224C5329">
            <w:pPr>
              <w:spacing w:line="249" w:lineRule="auto"/>
              <w:rPr>
                <w:rFonts w:ascii="Arial"/>
                <w:sz w:val="21"/>
              </w:rPr>
            </w:pPr>
          </w:p>
          <w:p w14:paraId="51BA1026">
            <w:pPr>
              <w:spacing w:line="249" w:lineRule="auto"/>
              <w:rPr>
                <w:rFonts w:ascii="Arial"/>
                <w:sz w:val="21"/>
              </w:rPr>
            </w:pPr>
          </w:p>
          <w:p w14:paraId="34F4A8A5">
            <w:pPr>
              <w:spacing w:line="249" w:lineRule="auto"/>
              <w:rPr>
                <w:rFonts w:ascii="Arial"/>
                <w:sz w:val="21"/>
              </w:rPr>
            </w:pPr>
          </w:p>
          <w:p w14:paraId="338DDA17">
            <w:pPr>
              <w:spacing w:line="249" w:lineRule="auto"/>
              <w:rPr>
                <w:rFonts w:ascii="Arial"/>
                <w:sz w:val="21"/>
              </w:rPr>
            </w:pPr>
          </w:p>
          <w:p w14:paraId="6AE94A64">
            <w:pPr>
              <w:spacing w:line="250" w:lineRule="auto"/>
              <w:rPr>
                <w:rFonts w:ascii="Arial"/>
                <w:sz w:val="21"/>
              </w:rPr>
            </w:pPr>
          </w:p>
          <w:p w14:paraId="4D5E5A5E">
            <w:pPr>
              <w:pStyle w:val="8"/>
              <w:spacing w:before="71" w:line="219" w:lineRule="auto"/>
              <w:ind w:left="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质控管理</w:t>
            </w:r>
          </w:p>
        </w:tc>
        <w:tc>
          <w:tcPr>
            <w:tcW w:w="10702" w:type="dxa"/>
            <w:vAlign w:val="top"/>
          </w:tcPr>
          <w:p w14:paraId="45669744">
            <w:pPr>
              <w:pStyle w:val="8"/>
              <w:spacing w:before="35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1.可以自动接收仪器的质控结果，并自动绘制多种质控图，包括分数图、优顿图、L-I图。</w:t>
            </w:r>
          </w:p>
          <w:p w14:paraId="1996B14A">
            <w:pPr>
              <w:pStyle w:val="8"/>
              <w:spacing w:before="118" w:line="286" w:lineRule="auto"/>
              <w:ind w:left="112" w:right="6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2.支持多水平质控图，即水平高中低三条曲线可同时在一张图形内表示，方便检验医师观察质控情况。 3支持一天多次质控，实验前、试验中、试验后质控，在一张图上显示。</w:t>
            </w:r>
          </w:p>
          <w:p w14:paraId="50723DC1">
            <w:pPr>
              <w:pStyle w:val="8"/>
              <w:spacing w:before="147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4.支持修改靶值、标准差，并能自动计算靶值和标准差，自动更新。</w:t>
            </w:r>
          </w:p>
          <w:p w14:paraId="1BD29627">
            <w:pPr>
              <w:pStyle w:val="8"/>
              <w:spacing w:before="150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5.支持数据锁定、手工录入质控数据。</w:t>
            </w:r>
          </w:p>
          <w:p w14:paraId="44D4469E">
            <w:pPr>
              <w:pStyle w:val="8"/>
              <w:spacing w:before="158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6.支持失控处理、失控原因分析、失控报表。</w:t>
            </w:r>
          </w:p>
          <w:p w14:paraId="15C317DF">
            <w:pPr>
              <w:pStyle w:val="8"/>
              <w:spacing w:before="119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7.支持质控变异系数分析，通过柱形图、曲线图和数据表格显示质控CV值变化情</w:t>
            </w:r>
            <w:r>
              <w:rPr>
                <w:spacing w:val="-1"/>
                <w:sz w:val="22"/>
                <w:szCs w:val="22"/>
              </w:rPr>
              <w:t>况。</w:t>
            </w:r>
          </w:p>
        </w:tc>
      </w:tr>
    </w:tbl>
    <w:p w14:paraId="7F973781">
      <w:pPr>
        <w:pStyle w:val="2"/>
      </w:pPr>
    </w:p>
    <w:p w14:paraId="69DA1751">
      <w:pPr>
        <w:sectPr>
          <w:headerReference r:id="rId7" w:type="default"/>
          <w:pgSz w:w="16830" w:h="11900"/>
          <w:pgMar w:top="1029" w:right="1569" w:bottom="0" w:left="1299" w:header="1009" w:footer="0" w:gutter="0"/>
          <w:cols w:space="720" w:num="1"/>
        </w:sectPr>
      </w:pPr>
    </w:p>
    <w:p w14:paraId="5BDE2F3D">
      <w:pPr>
        <w:spacing w:before="116"/>
      </w:pPr>
    </w:p>
    <w:p w14:paraId="29922A94">
      <w:pPr>
        <w:spacing w:before="116"/>
      </w:pPr>
    </w:p>
    <w:tbl>
      <w:tblPr>
        <w:tblStyle w:val="7"/>
        <w:tblW w:w="1409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19"/>
        <w:gridCol w:w="10887"/>
      </w:tblGrid>
      <w:tr w14:paraId="62048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 w14:paraId="5A94A1A7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79121F9C">
            <w:pPr>
              <w:spacing w:line="261" w:lineRule="auto"/>
              <w:rPr>
                <w:rFonts w:ascii="Arial"/>
                <w:sz w:val="21"/>
              </w:rPr>
            </w:pPr>
          </w:p>
          <w:p w14:paraId="7A78D5A8">
            <w:pPr>
              <w:spacing w:line="261" w:lineRule="auto"/>
              <w:rPr>
                <w:rFonts w:ascii="Arial"/>
                <w:sz w:val="21"/>
              </w:rPr>
            </w:pPr>
          </w:p>
          <w:p w14:paraId="4C008C26">
            <w:pPr>
              <w:spacing w:line="262" w:lineRule="auto"/>
              <w:rPr>
                <w:rFonts w:ascii="Arial"/>
                <w:sz w:val="21"/>
              </w:rPr>
            </w:pPr>
          </w:p>
          <w:p w14:paraId="03FEDDD3">
            <w:pPr>
              <w:spacing w:line="262" w:lineRule="auto"/>
              <w:rPr>
                <w:rFonts w:ascii="Arial"/>
                <w:sz w:val="21"/>
              </w:rPr>
            </w:pPr>
          </w:p>
          <w:p w14:paraId="052E6346">
            <w:pPr>
              <w:spacing w:line="262" w:lineRule="auto"/>
              <w:rPr>
                <w:rFonts w:ascii="Arial"/>
                <w:sz w:val="21"/>
              </w:rPr>
            </w:pPr>
          </w:p>
          <w:p w14:paraId="0F07AC85">
            <w:pPr>
              <w:pStyle w:val="8"/>
              <w:spacing w:before="68" w:line="221" w:lineRule="auto"/>
              <w:ind w:left="10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统计查询</w:t>
            </w:r>
          </w:p>
        </w:tc>
        <w:tc>
          <w:tcPr>
            <w:tcW w:w="10887" w:type="dxa"/>
            <w:vAlign w:val="top"/>
          </w:tcPr>
          <w:p w14:paraId="5291F754">
            <w:pPr>
              <w:pStyle w:val="8"/>
              <w:spacing w:before="52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1.支持快速查询、即昨天、最近三天、最近一周的标本。</w:t>
            </w:r>
          </w:p>
          <w:p w14:paraId="0F20D702">
            <w:pPr>
              <w:pStyle w:val="8"/>
              <w:spacing w:before="72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2.支持模糊查询某一姓氏或者名字中包含某个字的情况。</w:t>
            </w:r>
          </w:p>
          <w:p w14:paraId="0FBAC97E">
            <w:pPr>
              <w:pStyle w:val="8"/>
              <w:spacing w:before="79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3.可按照姓名、住院号、科室、医生等相关信息进行查询。</w:t>
            </w:r>
          </w:p>
          <w:p w14:paraId="2D5F6159">
            <w:pPr>
              <w:pStyle w:val="8"/>
              <w:spacing w:before="62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4.支持对患者的历史检验结果进行查询、打印。可对患者既往结果和现在结果进行图文比对分析。</w:t>
            </w:r>
          </w:p>
          <w:p w14:paraId="434F5333">
            <w:pPr>
              <w:pStyle w:val="8"/>
              <w:spacing w:before="79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5.费用收益类统计：包括科室收入、开展项目收益情况统计、未检项目统计。</w:t>
            </w:r>
          </w:p>
          <w:p w14:paraId="06A8F8F5">
            <w:pPr>
              <w:pStyle w:val="8"/>
              <w:spacing w:before="82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6.检验结果类统计：检验结果数字、图形分析对比；异常、阳性结果统计；均值、集中度统计分析。</w:t>
            </w:r>
          </w:p>
          <w:p w14:paraId="584B014B">
            <w:pPr>
              <w:pStyle w:val="8"/>
              <w:spacing w:before="59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7.项目开展类统计：单项、组合项目开展情况：科室、医生开单情况：科室、医生送检情况统计。</w:t>
            </w:r>
          </w:p>
          <w:p w14:paraId="72D1CF8C">
            <w:pPr>
              <w:pStyle w:val="8"/>
              <w:spacing w:before="91" w:line="218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8.阳性报告统计、阳性率统计等等。</w:t>
            </w:r>
          </w:p>
          <w:p w14:paraId="480C53AA">
            <w:pPr>
              <w:pStyle w:val="8"/>
              <w:spacing w:before="52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9.支持自定义统计报表，可根据科室提出的要求自行设计。</w:t>
            </w:r>
          </w:p>
        </w:tc>
      </w:tr>
      <w:tr w14:paraId="1F58A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 w14:paraId="3CB7ABA2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02AC51B0">
            <w:pPr>
              <w:spacing w:line="256" w:lineRule="auto"/>
              <w:rPr>
                <w:rFonts w:ascii="Arial"/>
                <w:sz w:val="21"/>
              </w:rPr>
            </w:pPr>
          </w:p>
          <w:p w14:paraId="3DF8779B">
            <w:pPr>
              <w:spacing w:line="256" w:lineRule="auto"/>
              <w:rPr>
                <w:rFonts w:ascii="Arial"/>
                <w:sz w:val="21"/>
              </w:rPr>
            </w:pPr>
          </w:p>
          <w:p w14:paraId="3D69DAE7">
            <w:pPr>
              <w:spacing w:line="257" w:lineRule="auto"/>
              <w:rPr>
                <w:rFonts w:ascii="Arial"/>
                <w:sz w:val="21"/>
              </w:rPr>
            </w:pPr>
          </w:p>
          <w:p w14:paraId="1872393A">
            <w:pPr>
              <w:pStyle w:val="8"/>
              <w:spacing w:before="69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字典维护</w:t>
            </w:r>
          </w:p>
        </w:tc>
        <w:tc>
          <w:tcPr>
            <w:tcW w:w="10887" w:type="dxa"/>
            <w:vAlign w:val="top"/>
          </w:tcPr>
          <w:p w14:paraId="72CCE0EB">
            <w:pPr>
              <w:pStyle w:val="8"/>
              <w:spacing w:before="22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1.维护仪器，以及仪器所做项目的通道号。</w:t>
            </w:r>
          </w:p>
          <w:p w14:paraId="5D4091C2">
            <w:pPr>
              <w:pStyle w:val="8"/>
              <w:spacing w:before="59" w:line="219" w:lineRule="auto"/>
              <w:ind w:left="8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2.维护检验项目，如项目名称、英文名称、打印顺序、参考范</w:t>
            </w:r>
            <w:r>
              <w:rPr>
                <w:spacing w:val="2"/>
                <w:sz w:val="21"/>
                <w:szCs w:val="21"/>
              </w:rPr>
              <w:t>围、单位、默认结果、</w:t>
            </w:r>
          </w:p>
          <w:p w14:paraId="39B3D856">
            <w:pPr>
              <w:pStyle w:val="8"/>
              <w:spacing w:before="62" w:line="264" w:lineRule="auto"/>
              <w:ind w:left="82" w:right="79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3.与</w:t>
            </w:r>
            <w:r>
              <w:rPr>
                <w:sz w:val="21"/>
                <w:szCs w:val="21"/>
              </w:rPr>
              <w:t>HIS</w:t>
            </w:r>
            <w:r>
              <w:rPr>
                <w:spacing w:val="1"/>
                <w:sz w:val="21"/>
                <w:szCs w:val="21"/>
              </w:rPr>
              <w:t>做无缝对接，将</w:t>
            </w:r>
            <w:r>
              <w:rPr>
                <w:sz w:val="21"/>
                <w:szCs w:val="21"/>
              </w:rPr>
              <w:t>HIS</w:t>
            </w:r>
            <w:r>
              <w:rPr>
                <w:spacing w:val="1"/>
                <w:sz w:val="21"/>
                <w:szCs w:val="21"/>
              </w:rPr>
              <w:t>中的收费项目提取到</w:t>
            </w:r>
            <w:r>
              <w:rPr>
                <w:sz w:val="21"/>
                <w:szCs w:val="21"/>
              </w:rPr>
              <w:t>LIS</w:t>
            </w:r>
            <w:r>
              <w:rPr>
                <w:spacing w:val="1"/>
                <w:sz w:val="21"/>
                <w:szCs w:val="21"/>
              </w:rPr>
              <w:t>中，然后</w:t>
            </w:r>
            <w:r>
              <w:rPr>
                <w:sz w:val="21"/>
                <w:szCs w:val="21"/>
              </w:rPr>
              <w:t>进行分类、排序，并将检验项目与之对应，可以 批量进行设置。</w:t>
            </w:r>
          </w:p>
          <w:p w14:paraId="147B7B26">
            <w:pPr>
              <w:pStyle w:val="8"/>
              <w:spacing w:before="29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4.输入控制设置，即在输入或修改患者信息时，调整光标停留的位置。</w:t>
            </w:r>
          </w:p>
          <w:p w14:paraId="07DE5D8D">
            <w:pPr>
              <w:pStyle w:val="8"/>
              <w:spacing w:before="59" w:line="219" w:lineRule="auto"/>
              <w:ind w:left="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5.其他设置：如患者类型、标本类型、备注信息等等。</w:t>
            </w:r>
          </w:p>
        </w:tc>
      </w:tr>
      <w:tr w14:paraId="185AA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 w14:paraId="18C647EA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516482F4">
            <w:pPr>
              <w:spacing w:line="287" w:lineRule="auto"/>
              <w:rPr>
                <w:rFonts w:ascii="Arial"/>
                <w:sz w:val="21"/>
              </w:rPr>
            </w:pPr>
          </w:p>
          <w:p w14:paraId="4A647989">
            <w:pPr>
              <w:spacing w:line="287" w:lineRule="auto"/>
              <w:rPr>
                <w:rFonts w:ascii="Arial"/>
                <w:sz w:val="21"/>
              </w:rPr>
            </w:pPr>
          </w:p>
          <w:p w14:paraId="7A5490EE">
            <w:pPr>
              <w:spacing w:line="288" w:lineRule="auto"/>
              <w:rPr>
                <w:rFonts w:ascii="Arial"/>
                <w:sz w:val="21"/>
              </w:rPr>
            </w:pPr>
          </w:p>
          <w:p w14:paraId="528ACC1C">
            <w:pPr>
              <w:spacing w:line="288" w:lineRule="auto"/>
              <w:rPr>
                <w:rFonts w:ascii="Arial"/>
                <w:sz w:val="21"/>
              </w:rPr>
            </w:pPr>
          </w:p>
          <w:p w14:paraId="04668944">
            <w:pPr>
              <w:spacing w:line="288" w:lineRule="auto"/>
              <w:rPr>
                <w:rFonts w:ascii="Arial"/>
                <w:sz w:val="21"/>
              </w:rPr>
            </w:pPr>
          </w:p>
          <w:p w14:paraId="523A6E38">
            <w:pPr>
              <w:pStyle w:val="8"/>
              <w:spacing w:before="68" w:line="220" w:lineRule="auto"/>
              <w:ind w:left="1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0887" w:type="dxa"/>
            <w:vAlign w:val="top"/>
          </w:tcPr>
          <w:p w14:paraId="4B7F89FF">
            <w:pPr>
              <w:pStyle w:val="8"/>
              <w:spacing w:before="14" w:line="219" w:lineRule="auto"/>
              <w:ind w:lef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1）</w:t>
            </w:r>
            <w:r>
              <w:rPr>
                <w:sz w:val="21"/>
                <w:szCs w:val="21"/>
              </w:rPr>
              <w:t>支持质量指标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国十五条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统计分析。</w:t>
            </w:r>
          </w:p>
          <w:p w14:paraId="34951521">
            <w:pPr>
              <w:pStyle w:val="8"/>
              <w:spacing w:before="139" w:line="281" w:lineRule="auto"/>
              <w:ind w:left="82" w:right="5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2）</w:t>
            </w:r>
            <w:r>
              <w:rPr>
                <w:sz w:val="21"/>
                <w:szCs w:val="21"/>
              </w:rPr>
              <w:t>支持标本可接受性统计，统计本月的标本总数、需抗凝标本总数、标本类型错误、</w:t>
            </w:r>
            <w:r>
              <w:rPr>
                <w:spacing w:val="-1"/>
                <w:sz w:val="21"/>
                <w:szCs w:val="21"/>
              </w:rPr>
              <w:t>容器错误、采集量错误、抗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凝标本凝集、溶血等统计显示各组的数据；</w:t>
            </w:r>
          </w:p>
          <w:p w14:paraId="6931EC51">
            <w:pPr>
              <w:pStyle w:val="8"/>
              <w:spacing w:before="170" w:line="218" w:lineRule="auto"/>
              <w:ind w:lef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3）</w:t>
            </w:r>
            <w:r>
              <w:rPr>
                <w:sz w:val="21"/>
                <w:szCs w:val="21"/>
              </w:rPr>
              <w:t>支持专业组设置，可选择检验报告专业组和周转时间专业组进行调整：</w:t>
            </w:r>
          </w:p>
          <w:p w14:paraId="77E0903C">
            <w:pPr>
              <w:pStyle w:val="8"/>
              <w:spacing w:before="164" w:line="219" w:lineRule="auto"/>
              <w:ind w:lef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4）</w:t>
            </w:r>
            <w:r>
              <w:rPr>
                <w:sz w:val="21"/>
                <w:szCs w:val="21"/>
              </w:rPr>
              <w:t>支持对抗凝收费项目维护，根据检验类型、快捷检索功能：</w:t>
            </w:r>
          </w:p>
          <w:p w14:paraId="5BAE6220">
            <w:pPr>
              <w:pStyle w:val="8"/>
              <w:spacing w:before="169" w:line="219" w:lineRule="auto"/>
              <w:ind w:lef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5）</w:t>
            </w:r>
            <w:r>
              <w:rPr>
                <w:sz w:val="21"/>
                <w:szCs w:val="21"/>
              </w:rPr>
              <w:t>提供拒收设置，可设置拒收原因、拒收类型、可接受性调整：</w:t>
            </w:r>
          </w:p>
          <w:p w14:paraId="13D09D6A">
            <w:pPr>
              <w:pStyle w:val="8"/>
              <w:spacing w:before="150" w:line="286" w:lineRule="auto"/>
              <w:ind w:left="81" w:right="649" w:hanging="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6）</w:t>
            </w:r>
            <w:r>
              <w:rPr>
                <w:sz w:val="21"/>
                <w:szCs w:val="21"/>
              </w:rPr>
              <w:t>支持检验报告数量、不正确检验报告数、危急值总数、危急值通报数、危急值通报规定时</w:t>
            </w:r>
            <w:r>
              <w:rPr>
                <w:spacing w:val="-1"/>
                <w:sz w:val="21"/>
                <w:szCs w:val="21"/>
              </w:rPr>
              <w:t>间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spacing w:val="-1"/>
                <w:sz w:val="21"/>
                <w:szCs w:val="21"/>
              </w:rPr>
              <w:t>min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spacing w:val="-1"/>
                <w:sz w:val="21"/>
                <w:szCs w:val="21"/>
              </w:rPr>
              <w:t>、危急值通</w:t>
            </w:r>
            <w:r>
              <w:rPr>
                <w:sz w:val="21"/>
                <w:szCs w:val="21"/>
              </w:rPr>
              <w:t xml:space="preserve"> 报超过医院规定时间数，并按组别展示数据：</w:t>
            </w:r>
          </w:p>
        </w:tc>
      </w:tr>
    </w:tbl>
    <w:p w14:paraId="20139320">
      <w:pPr>
        <w:pStyle w:val="2"/>
      </w:pPr>
    </w:p>
    <w:p w14:paraId="3D49D1D4">
      <w:pPr>
        <w:sectPr>
          <w:headerReference r:id="rId8" w:type="default"/>
          <w:pgSz w:w="16980" w:h="12120"/>
          <w:pgMar w:top="1189" w:right="1495" w:bottom="0" w:left="1279" w:header="1169" w:footer="0" w:gutter="0"/>
          <w:cols w:space="720" w:num="1"/>
        </w:sectPr>
      </w:pPr>
    </w:p>
    <w:p w14:paraId="43D4FC89">
      <w:pPr>
        <w:spacing w:before="96"/>
      </w:pPr>
    </w:p>
    <w:p w14:paraId="794983E2">
      <w:pPr>
        <w:spacing w:before="96"/>
      </w:pPr>
    </w:p>
    <w:tbl>
      <w:tblPr>
        <w:tblStyle w:val="7"/>
        <w:tblW w:w="13810" w:type="dxa"/>
        <w:tblInd w:w="8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489"/>
        <w:gridCol w:w="10687"/>
      </w:tblGrid>
      <w:tr w14:paraId="0CF96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 w14:paraId="56295144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0F711771">
            <w:pPr>
              <w:rPr>
                <w:rFonts w:ascii="Arial"/>
                <w:sz w:val="21"/>
              </w:rPr>
            </w:pPr>
          </w:p>
        </w:tc>
        <w:tc>
          <w:tcPr>
            <w:tcW w:w="10687" w:type="dxa"/>
            <w:vAlign w:val="top"/>
          </w:tcPr>
          <w:p w14:paraId="740E43E2">
            <w:pPr>
              <w:pStyle w:val="8"/>
              <w:spacing w:before="13" w:line="219" w:lineRule="auto"/>
              <w:ind w:left="61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  <w:lang w:eastAsia="zh-CN"/>
              </w:rPr>
              <w:t>7）</w:t>
            </w:r>
            <w:r>
              <w:rPr>
                <w:spacing w:val="4"/>
                <w:sz w:val="21"/>
                <w:szCs w:val="21"/>
              </w:rPr>
              <w:t>支持危急值通报时间维护、可自定义通报时间；</w:t>
            </w:r>
          </w:p>
          <w:p w14:paraId="26F72B0D">
            <w:pPr>
              <w:pStyle w:val="8"/>
              <w:spacing w:before="149" w:line="219" w:lineRule="auto"/>
              <w:ind w:left="61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8）</w:t>
            </w:r>
            <w:r>
              <w:rPr>
                <w:spacing w:val="3"/>
                <w:sz w:val="21"/>
                <w:szCs w:val="21"/>
              </w:rPr>
              <w:t>支持标本周转时间统计，按生化、自动化免疫、三大常规、凝血；</w:t>
            </w:r>
          </w:p>
          <w:p w14:paraId="32176A86">
            <w:pPr>
              <w:pStyle w:val="8"/>
              <w:spacing w:before="180" w:line="219" w:lineRule="auto"/>
              <w:ind w:left="61"/>
              <w:rPr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  <w:lang w:eastAsia="zh-CN"/>
              </w:rPr>
              <w:t>9）</w:t>
            </w:r>
            <w:r>
              <w:rPr>
                <w:spacing w:val="8"/>
                <w:sz w:val="21"/>
                <w:szCs w:val="21"/>
              </w:rPr>
              <w:t>提供急诊标志维护功能；</w:t>
            </w:r>
          </w:p>
          <w:p w14:paraId="739797D4">
            <w:pPr>
              <w:pStyle w:val="8"/>
              <w:spacing w:before="172" w:line="220" w:lineRule="auto"/>
              <w:ind w:left="61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10）</w:t>
            </w:r>
            <w:r>
              <w:rPr>
                <w:spacing w:val="5"/>
                <w:sz w:val="21"/>
                <w:szCs w:val="21"/>
              </w:rPr>
              <w:t>可统计周转时间的具体项目、</w:t>
            </w:r>
            <w:r>
              <w:rPr>
                <w:sz w:val="21"/>
                <w:szCs w:val="21"/>
              </w:rPr>
              <w:t>TAT</w:t>
            </w:r>
            <w:r>
              <w:rPr>
                <w:spacing w:val="5"/>
                <w:sz w:val="21"/>
                <w:szCs w:val="21"/>
              </w:rPr>
              <w:t>设置；</w:t>
            </w:r>
          </w:p>
        </w:tc>
      </w:tr>
      <w:tr w14:paraId="4C51C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634" w:type="dxa"/>
            <w:vMerge w:val="continue"/>
            <w:tcBorders>
              <w:top w:val="nil"/>
              <w:bottom w:val="nil"/>
            </w:tcBorders>
            <w:vAlign w:val="top"/>
          </w:tcPr>
          <w:p w14:paraId="0570CB11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1ABF59B6">
            <w:pPr>
              <w:spacing w:line="438" w:lineRule="auto"/>
              <w:rPr>
                <w:rFonts w:ascii="Arial"/>
                <w:sz w:val="21"/>
              </w:rPr>
            </w:pPr>
          </w:p>
          <w:p w14:paraId="6B82A7A4">
            <w:pPr>
              <w:pStyle w:val="8"/>
              <w:spacing w:before="68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危机值模</w:t>
            </w:r>
          </w:p>
        </w:tc>
        <w:tc>
          <w:tcPr>
            <w:tcW w:w="10687" w:type="dxa"/>
            <w:vAlign w:val="top"/>
          </w:tcPr>
          <w:p w14:paraId="28745636">
            <w:pPr>
              <w:pStyle w:val="8"/>
              <w:spacing w:before="40" w:line="219" w:lineRule="auto"/>
              <w:ind w:left="6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自动提示危急值。</w:t>
            </w:r>
          </w:p>
          <w:p w14:paraId="65453BFC">
            <w:pPr>
              <w:pStyle w:val="8"/>
              <w:spacing w:before="129" w:line="219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2.支持危急值登记，登记时，自动填写危急值记录中的各种基本信息。</w:t>
            </w:r>
          </w:p>
          <w:p w14:paraId="0163C704">
            <w:pPr>
              <w:pStyle w:val="8"/>
              <w:spacing w:before="172" w:line="219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3.危急值统计，支持危急值通报率、危急值通报及时率统计功能。</w:t>
            </w:r>
          </w:p>
        </w:tc>
      </w:tr>
      <w:tr w14:paraId="5C756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 w14:paraId="6F32F106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1E1C50CE">
            <w:pPr>
              <w:spacing w:line="320" w:lineRule="auto"/>
              <w:rPr>
                <w:rFonts w:ascii="Arial"/>
                <w:sz w:val="21"/>
              </w:rPr>
            </w:pPr>
          </w:p>
          <w:p w14:paraId="265AF0CC">
            <w:pPr>
              <w:spacing w:line="320" w:lineRule="auto"/>
              <w:rPr>
                <w:rFonts w:ascii="Arial"/>
                <w:sz w:val="21"/>
              </w:rPr>
            </w:pPr>
          </w:p>
          <w:p w14:paraId="2FF2ECE9">
            <w:pPr>
              <w:pStyle w:val="8"/>
              <w:spacing w:before="68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主任工作站</w:t>
            </w:r>
          </w:p>
        </w:tc>
        <w:tc>
          <w:tcPr>
            <w:tcW w:w="10687" w:type="dxa"/>
            <w:vAlign w:val="top"/>
          </w:tcPr>
          <w:p w14:paraId="7041B93D">
            <w:pPr>
              <w:pStyle w:val="8"/>
              <w:spacing w:before="11" w:line="219" w:lineRule="auto"/>
              <w:ind w:left="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</w:t>
            </w:r>
            <w:r>
              <w:rPr>
                <w:sz w:val="21"/>
                <w:szCs w:val="21"/>
              </w:rPr>
              <w:t>工作站工作情况：主任可以监视各个工作站的当前使用情况，以严肃实验室工作纪</w:t>
            </w:r>
            <w:r>
              <w:rPr>
                <w:spacing w:val="-1"/>
                <w:sz w:val="21"/>
                <w:szCs w:val="21"/>
              </w:rPr>
              <w:t>律。</w:t>
            </w:r>
          </w:p>
          <w:p w14:paraId="6B131272">
            <w:pPr>
              <w:pStyle w:val="8"/>
              <w:spacing w:before="160" w:line="295" w:lineRule="auto"/>
              <w:ind w:left="61" w:right="20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</w:t>
            </w:r>
            <w:r>
              <w:rPr>
                <w:sz w:val="21"/>
                <w:szCs w:val="21"/>
              </w:rPr>
              <w:t>设备物资管理：设备登记、设备维修记录。可维护采购商、供应商、设备维修人员等信息。支持条码管理。支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持物资存放管理，对所有物品可记录存放位置以及存放状态等信息。</w:t>
            </w:r>
          </w:p>
          <w:p w14:paraId="02056F7B">
            <w:pPr>
              <w:pStyle w:val="8"/>
              <w:spacing w:before="149" w:line="219" w:lineRule="auto"/>
              <w:ind w:left="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</w:t>
            </w:r>
            <w:r>
              <w:rPr>
                <w:sz w:val="21"/>
                <w:szCs w:val="21"/>
              </w:rPr>
              <w:t>支持主任全方位查询科室工作情况、TAT情况、标本量数据、人员工作数据等内容。</w:t>
            </w:r>
          </w:p>
        </w:tc>
      </w:tr>
      <w:tr w14:paraId="3102F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 w14:paraId="5EA58904">
            <w:pPr>
              <w:rPr>
                <w:rFonts w:ascii="Arial"/>
                <w:sz w:val="21"/>
              </w:rPr>
            </w:pPr>
          </w:p>
          <w:p w14:paraId="1F42B904">
            <w:pPr>
              <w:spacing w:line="241" w:lineRule="auto"/>
              <w:rPr>
                <w:rFonts w:ascii="Arial"/>
                <w:sz w:val="21"/>
              </w:rPr>
            </w:pPr>
          </w:p>
          <w:p w14:paraId="6A78E6FE">
            <w:pPr>
              <w:spacing w:line="241" w:lineRule="auto"/>
              <w:rPr>
                <w:rFonts w:ascii="Arial"/>
                <w:sz w:val="21"/>
              </w:rPr>
            </w:pPr>
          </w:p>
          <w:p w14:paraId="7E363032">
            <w:pPr>
              <w:spacing w:line="241" w:lineRule="auto"/>
              <w:rPr>
                <w:rFonts w:ascii="Arial"/>
                <w:sz w:val="21"/>
              </w:rPr>
            </w:pPr>
          </w:p>
          <w:p w14:paraId="217DEE8A">
            <w:pPr>
              <w:spacing w:line="241" w:lineRule="auto"/>
              <w:rPr>
                <w:rFonts w:ascii="Arial"/>
                <w:sz w:val="21"/>
              </w:rPr>
            </w:pPr>
          </w:p>
          <w:p w14:paraId="3D8C1BC5">
            <w:pPr>
              <w:spacing w:line="241" w:lineRule="auto"/>
              <w:rPr>
                <w:rFonts w:ascii="Arial"/>
                <w:sz w:val="21"/>
              </w:rPr>
            </w:pPr>
          </w:p>
          <w:p w14:paraId="4A5B34D7">
            <w:pPr>
              <w:spacing w:line="241" w:lineRule="auto"/>
              <w:rPr>
                <w:rFonts w:ascii="Arial"/>
                <w:sz w:val="21"/>
              </w:rPr>
            </w:pPr>
          </w:p>
          <w:p w14:paraId="487F1C82">
            <w:pPr>
              <w:pStyle w:val="8"/>
              <w:spacing w:before="68" w:line="219" w:lineRule="auto"/>
              <w:ind w:left="9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外围模块</w:t>
            </w:r>
          </w:p>
        </w:tc>
        <w:tc>
          <w:tcPr>
            <w:tcW w:w="1489" w:type="dxa"/>
            <w:vAlign w:val="top"/>
          </w:tcPr>
          <w:p w14:paraId="57898072">
            <w:pPr>
              <w:spacing w:line="296" w:lineRule="auto"/>
              <w:rPr>
                <w:rFonts w:ascii="Arial"/>
                <w:sz w:val="21"/>
              </w:rPr>
            </w:pPr>
          </w:p>
          <w:p w14:paraId="4C404B14">
            <w:pPr>
              <w:spacing w:line="296" w:lineRule="auto"/>
              <w:rPr>
                <w:rFonts w:ascii="Arial"/>
                <w:sz w:val="21"/>
              </w:rPr>
            </w:pPr>
          </w:p>
          <w:p w14:paraId="261BDFE2">
            <w:pPr>
              <w:pStyle w:val="8"/>
              <w:spacing w:before="69" w:line="219" w:lineRule="auto"/>
              <w:ind w:left="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SOP</w:t>
            </w:r>
            <w:r>
              <w:rPr>
                <w:spacing w:val="3"/>
                <w:sz w:val="21"/>
                <w:szCs w:val="21"/>
              </w:rPr>
              <w:t>文档管理</w:t>
            </w:r>
          </w:p>
        </w:tc>
        <w:tc>
          <w:tcPr>
            <w:tcW w:w="10687" w:type="dxa"/>
            <w:vAlign w:val="top"/>
          </w:tcPr>
          <w:p w14:paraId="258FB0B8">
            <w:pPr>
              <w:pStyle w:val="8"/>
              <w:spacing w:before="12" w:line="295" w:lineRule="auto"/>
              <w:ind w:left="61" w:right="76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1.方便检验科管理各种电子文档</w:t>
            </w:r>
            <w:r>
              <w:rPr>
                <w:sz w:val="21"/>
                <w:szCs w:val="21"/>
              </w:rPr>
              <w:t xml:space="preserve"> 2.支持多级管理。</w:t>
            </w:r>
          </w:p>
          <w:p w14:paraId="74853437">
            <w:pPr>
              <w:pStyle w:val="8"/>
              <w:spacing w:before="170" w:line="219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3.支持权限管理。</w:t>
            </w:r>
          </w:p>
          <w:p w14:paraId="579A88D9">
            <w:pPr>
              <w:pStyle w:val="8"/>
              <w:spacing w:before="160" w:line="214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4.支持文档、图片等多种格式。</w:t>
            </w:r>
          </w:p>
        </w:tc>
      </w:tr>
      <w:tr w14:paraId="2D615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34" w:type="dxa"/>
            <w:vMerge w:val="continue"/>
            <w:tcBorders>
              <w:top w:val="nil"/>
              <w:bottom w:val="nil"/>
            </w:tcBorders>
            <w:vAlign w:val="top"/>
          </w:tcPr>
          <w:p w14:paraId="0A3FF30C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6E7719C3">
            <w:pPr>
              <w:spacing w:line="316" w:lineRule="auto"/>
              <w:rPr>
                <w:rFonts w:ascii="Arial"/>
                <w:sz w:val="21"/>
              </w:rPr>
            </w:pPr>
          </w:p>
          <w:p w14:paraId="1A99E9AB">
            <w:pPr>
              <w:pStyle w:val="8"/>
              <w:spacing w:before="68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自助打印</w:t>
            </w:r>
          </w:p>
        </w:tc>
        <w:tc>
          <w:tcPr>
            <w:tcW w:w="10687" w:type="dxa"/>
            <w:vAlign w:val="top"/>
          </w:tcPr>
          <w:p w14:paraId="0B8F638B">
            <w:pPr>
              <w:pStyle w:val="8"/>
              <w:spacing w:before="94" w:line="218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1.门诊患者在自助打印机自助打印检验报告。</w:t>
            </w:r>
          </w:p>
          <w:p w14:paraId="5FAED78A">
            <w:pPr>
              <w:pStyle w:val="8"/>
              <w:spacing w:before="142" w:line="219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2.患者在自助打印机上录入交费的票据号码或者扫描条码，进行查询并且自动根据不同仪器进行打印。</w:t>
            </w:r>
          </w:p>
        </w:tc>
      </w:tr>
      <w:tr w14:paraId="1516E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 w14:paraId="716362E7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661BB428">
            <w:pPr>
              <w:spacing w:line="445" w:lineRule="auto"/>
              <w:rPr>
                <w:rFonts w:ascii="Arial"/>
                <w:sz w:val="21"/>
              </w:rPr>
            </w:pPr>
          </w:p>
          <w:p w14:paraId="57D90443">
            <w:pPr>
              <w:pStyle w:val="8"/>
              <w:spacing w:before="68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试剂管理系统</w:t>
            </w:r>
          </w:p>
        </w:tc>
        <w:tc>
          <w:tcPr>
            <w:tcW w:w="10687" w:type="dxa"/>
            <w:vAlign w:val="top"/>
          </w:tcPr>
          <w:p w14:paraId="2E1033FD">
            <w:pPr>
              <w:pStyle w:val="8"/>
              <w:spacing w:before="17" w:line="219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1.条码扫描，既节省了人力、物力又大大提高了工作效率。</w:t>
            </w:r>
          </w:p>
          <w:p w14:paraId="21E1A845">
            <w:pPr>
              <w:pStyle w:val="8"/>
              <w:spacing w:before="168" w:line="218" w:lineRule="auto"/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2.查询分析，对于试剂的价格、使用率、保质期、剩余量等准确做出分析，为医院下一步工作提供有效依据。</w:t>
            </w:r>
          </w:p>
          <w:p w14:paraId="78612771">
            <w:pPr>
              <w:pStyle w:val="8"/>
              <w:spacing w:before="162" w:line="219" w:lineRule="auto"/>
              <w:ind w:left="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3.出入库管理，对品名、编码、数量、规格、金额、保质期、存放地、供应商、生产商以及使用科室等做详细记录</w:t>
            </w:r>
          </w:p>
        </w:tc>
      </w:tr>
    </w:tbl>
    <w:p w14:paraId="3EE71F60">
      <w:pPr>
        <w:pStyle w:val="2"/>
      </w:pPr>
    </w:p>
    <w:p w14:paraId="0D0DC1B8">
      <w:pPr>
        <w:sectPr>
          <w:headerReference r:id="rId9" w:type="default"/>
          <w:pgSz w:w="16830" w:h="11900"/>
          <w:pgMar w:top="939" w:right="1584" w:bottom="0" w:left="620" w:header="919" w:footer="0" w:gutter="0"/>
          <w:cols w:space="720" w:num="1"/>
        </w:sectPr>
      </w:pPr>
    </w:p>
    <w:p w14:paraId="4FDCF4B5">
      <w:pPr>
        <w:spacing w:before="55"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812165</wp:posOffset>
            </wp:positionH>
            <wp:positionV relativeFrom="page">
              <wp:posOffset>565150</wp:posOffset>
            </wp:positionV>
            <wp:extent cx="8445500" cy="127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45548" cy="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F7AFE">
      <w:pPr>
        <w:spacing w:before="55"/>
      </w:pPr>
    </w:p>
    <w:p w14:paraId="65CFCE0E">
      <w:pPr>
        <w:spacing w:before="55"/>
      </w:pPr>
    </w:p>
    <w:p w14:paraId="2AD081AF">
      <w:pPr>
        <w:spacing w:before="54"/>
      </w:pPr>
    </w:p>
    <w:tbl>
      <w:tblPr>
        <w:tblStyle w:val="7"/>
        <w:tblW w:w="13810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418"/>
        <w:gridCol w:w="419"/>
        <w:gridCol w:w="12973"/>
      </w:tblGrid>
      <w:tr w14:paraId="665ED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</w:trPr>
        <w:tc>
          <w:tcPr>
            <w:tcW w:w="418" w:type="dxa"/>
            <w:vAlign w:val="top"/>
          </w:tcPr>
          <w:p w14:paraId="626E0D3D">
            <w:pPr>
              <w:snapToGrid w:val="0"/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CC0C435">
            <w:pPr>
              <w:snapToGrid w:val="0"/>
              <w:rPr>
                <w:rFonts w:ascii="Arial"/>
                <w:sz w:val="21"/>
              </w:rPr>
            </w:pPr>
          </w:p>
        </w:tc>
        <w:tc>
          <w:tcPr>
            <w:tcW w:w="12973" w:type="dxa"/>
            <w:vAlign w:val="top"/>
          </w:tcPr>
          <w:p w14:paraId="317F17D4">
            <w:pPr>
              <w:pStyle w:val="8"/>
              <w:snapToGrid w:val="0"/>
              <w:spacing w:before="33" w:line="219" w:lineRule="auto"/>
              <w:ind w:left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便于查询和管理。</w:t>
            </w:r>
          </w:p>
          <w:p w14:paraId="5A86A9A2">
            <w:pPr>
              <w:pStyle w:val="8"/>
              <w:snapToGrid w:val="0"/>
              <w:spacing w:before="159" w:line="219" w:lineRule="auto"/>
              <w:ind w:left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4.基本信息，试剂、供应商、生产商等的详细记录，便于医院管理。</w:t>
            </w:r>
          </w:p>
          <w:p w14:paraId="66535502">
            <w:pPr>
              <w:pStyle w:val="8"/>
              <w:snapToGrid w:val="0"/>
              <w:spacing w:before="180" w:line="219" w:lineRule="auto"/>
              <w:ind w:left="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5.</w:t>
            </w:r>
            <w:r>
              <w:rPr>
                <w:spacing w:val="-6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自动提醒功能，对库存试剂的库存量不足或接</w:t>
            </w:r>
            <w:r>
              <w:rPr>
                <w:spacing w:val="-2"/>
                <w:sz w:val="21"/>
                <w:szCs w:val="21"/>
              </w:rPr>
              <w:t>近有效期自动报警。</w:t>
            </w:r>
          </w:p>
        </w:tc>
      </w:tr>
    </w:tbl>
    <w:p w14:paraId="05E8515B">
      <w:pPr>
        <w:pStyle w:val="2"/>
      </w:pPr>
    </w:p>
    <w:sectPr>
      <w:headerReference r:id="rId10" w:type="default"/>
      <w:pgSz w:w="16830" w:h="11900"/>
      <w:pgMar w:top="400" w:right="1624" w:bottom="0" w:left="12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33B47">
    <w:pPr>
      <w:pStyle w:val="2"/>
      <w:spacing w:line="104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844550</wp:posOffset>
          </wp:positionH>
          <wp:positionV relativeFrom="page">
            <wp:posOffset>673100</wp:posOffset>
          </wp:positionV>
          <wp:extent cx="8445500" cy="1270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5442" cy="12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7B807">
    <w:pPr>
      <w:pStyle w:val="2"/>
      <w:spacing w:line="106" w:lineRule="auto"/>
      <w:rPr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863600</wp:posOffset>
          </wp:positionH>
          <wp:positionV relativeFrom="page">
            <wp:posOffset>653415</wp:posOffset>
          </wp:positionV>
          <wp:extent cx="8445500" cy="1270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5442" cy="12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8A6B6">
    <w:pPr>
      <w:pStyle w:val="2"/>
      <w:spacing w:line="104" w:lineRule="auto"/>
      <w:rPr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824865</wp:posOffset>
          </wp:positionH>
          <wp:positionV relativeFrom="page">
            <wp:posOffset>640715</wp:posOffset>
          </wp:positionV>
          <wp:extent cx="8439150" cy="1270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9136" cy="12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E7C56">
    <w:pPr>
      <w:pStyle w:val="2"/>
      <w:spacing w:line="104" w:lineRule="auto"/>
      <w:rPr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812165</wp:posOffset>
          </wp:positionH>
          <wp:positionV relativeFrom="page">
            <wp:posOffset>742315</wp:posOffset>
          </wp:positionV>
          <wp:extent cx="8616950" cy="12700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6998" cy="12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F4320">
    <w:pPr>
      <w:pStyle w:val="2"/>
      <w:spacing w:line="104" w:lineRule="auto"/>
      <w:rPr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831850</wp:posOffset>
          </wp:positionH>
          <wp:positionV relativeFrom="page">
            <wp:posOffset>583565</wp:posOffset>
          </wp:positionV>
          <wp:extent cx="8445500" cy="12700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5442" cy="12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DA105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501E28"/>
    <w:rsid w:val="1D1C74BB"/>
    <w:rsid w:val="3A6511B7"/>
    <w:rsid w:val="6B455489"/>
    <w:rsid w:val="7ADC5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jpeg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3086</Words>
  <Characters>3225</Characters>
  <TotalTime>5</TotalTime>
  <ScaleCrop>false</ScaleCrop>
  <LinksUpToDate>false</LinksUpToDate>
  <CharactersWithSpaces>3253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2025-08-27T11:32:00Z</dcterms:created>
  <dc:creator>Administrator</dc:creator>
  <cp:lastModifiedBy>Peaceminusone</cp:lastModifiedBy>
  <dcterms:modified xsi:type="dcterms:W3CDTF">2025-09-11T01:54:56Z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2025-08-27T11:32:31Z</vt:filetime>
  </property>
  <property fmtid="{D5CDD505-2E9C-101B-9397-08002B2CF9AE}" pid="4" name="UsrData">
    <vt:lpwstr>68ae7c4a6c77ff001f0fa6a7wl</vt:lpwstr>
  </property>
  <property fmtid="{D5CDD505-2E9C-101B-9397-08002B2CF9AE}" pid="5" name="KSOProductBuildVer">
    <vt:lpwstr>2052-12.1.0.22529</vt:lpwstr>
  </property>
  <property fmtid="{D5CDD505-2E9C-101B-9397-08002B2CF9AE}" pid="6" name="ICV">
    <vt:lpwstr>6F20724562D340D283DC3425799CB391_13</vt:lpwstr>
  </property>
  <property fmtid="{D5CDD505-2E9C-101B-9397-08002B2CF9AE}" pid="7" name="KSOTemplateDocerSaveRecord">
    <vt:lpwstr>eyJoZGlkIjoiZmZhYjgwYmFiOWE4NjA4YWVkMDVkNTJhMDNjZjQwN2MiLCJ1c2VySWQiOiIyNTU0MDYzMDYifQ==</vt:lpwstr>
  </property>
</Properties>
</file>