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390D">
      <w:pPr>
        <w:pStyle w:val="3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附件一</w:t>
      </w:r>
    </w:p>
    <w:bookmarkEnd w:id="0"/>
    <w:p w14:paraId="0E214C1F">
      <w:pPr>
        <w:spacing w:before="75" w:line="228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1. 磁微粒吖啶酯化学发光检测技术；</w:t>
      </w:r>
    </w:p>
    <w:p w14:paraId="552BF29C">
      <w:pPr>
        <w:spacing w:before="179" w:line="228" w:lineRule="auto"/>
        <w:ind w:left="26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2. 检测项目：子痫前期：PLGF、sFLT-1（可拓展项目包含AFP、AMH、PCT、IL-6、G17、PGI、PGII、HCY、NT-proBNP、CK-MB、Myo、D-Dimer、hs-cTnT、OC、PTH）</w:t>
      </w:r>
    </w:p>
    <w:p w14:paraId="0AAC3FB9">
      <w:pPr>
        <w:spacing w:before="253" w:line="228" w:lineRule="auto"/>
        <w:ind w:left="28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3. 检测方法：一步法、二步法、夹心法、竞争法；</w:t>
      </w:r>
    </w:p>
    <w:p w14:paraId="22161C36">
      <w:pPr>
        <w:spacing w:before="275" w:line="228" w:lineRule="auto"/>
        <w:ind w:left="22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4. 首个结果：18min；</w:t>
      </w:r>
    </w:p>
    <w:p w14:paraId="7C897F6D">
      <w:pPr>
        <w:spacing w:before="277" w:line="228" w:lineRule="auto"/>
        <w:ind w:left="28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5. 检测速度：180测试/小时；</w:t>
      </w:r>
    </w:p>
    <w:p w14:paraId="52C9F918">
      <w:pPr>
        <w:spacing w:before="276" w:line="227" w:lineRule="auto"/>
        <w:ind w:left="25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6. 样本位：40个；试剂位：9个；</w:t>
      </w:r>
    </w:p>
    <w:p w14:paraId="5758CC3C">
      <w:pPr>
        <w:spacing w:before="275" w:line="230" w:lineRule="auto"/>
        <w:ind w:left="29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7. 反应通道：13个独立反应通道，急诊可优先处理，急诊样本随插随检；</w:t>
      </w:r>
    </w:p>
    <w:p w14:paraId="1DE2921A">
      <w:pPr>
        <w:spacing w:before="276" w:line="227" w:lineRule="auto"/>
        <w:ind w:left="24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8. 样本类型：血清、血浆；</w:t>
      </w:r>
    </w:p>
    <w:p w14:paraId="76B43BA7">
      <w:pPr>
        <w:spacing w:before="276" w:line="228" w:lineRule="auto"/>
        <w:ind w:left="24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9. 条形码扫描识别或软件自动编码；</w:t>
      </w:r>
    </w:p>
    <w:p w14:paraId="0A4552EE">
      <w:pPr>
        <w:spacing w:before="275" w:line="230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10. 双向通讯功能，可连接 LIS/HIS 系统；</w:t>
      </w:r>
    </w:p>
    <w:p w14:paraId="21FD72F3">
      <w:pPr>
        <w:spacing w:before="276" w:line="228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11. 管路清洗方式：专利磁珠分离清洗，无需另配纯水装置；</w:t>
      </w:r>
    </w:p>
    <w:p w14:paraId="0AAE018B">
      <w:pPr>
        <w:spacing w:before="276" w:line="228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12.采样方法：开盖穿刺；</w:t>
      </w:r>
    </w:p>
    <w:p w14:paraId="1C310311">
      <w:pPr>
        <w:spacing w:before="274" w:line="360" w:lineRule="auto"/>
        <w:ind w:left="451" w:right="13" w:hanging="410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13. 软件系统：数据验证的全孕期子痫前期风险管理软件，能和医院信息系统进行对接，能满足医院无纸化要求；</w:t>
      </w:r>
    </w:p>
    <w:p w14:paraId="3DB7F0D1">
      <w:pPr>
        <w:spacing w:before="276" w:line="229" w:lineRule="auto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14.校准：两点定标，定标稳定期≥14天；</w:t>
      </w:r>
    </w:p>
    <w:p w14:paraId="4A5F93E2">
      <w:pPr>
        <w:spacing w:before="276" w:line="229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15.质控：冻干粉质控品，便于运输；</w:t>
      </w:r>
    </w:p>
    <w:p w14:paraId="0E18A017">
      <w:pPr>
        <w:spacing w:before="276" w:line="360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16、线性范围：胎盘生长因子（P1GF） 10-5000pg/mL,可溶性fms样酪氨酸激酶-1 （sFlt-1） 50-32000 pg/mL</w:t>
      </w:r>
    </w:p>
    <w:p w14:paraId="75E87B5E">
      <w:pPr>
        <w:spacing w:before="276" w:line="360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17、子痫前期预测项目:胎盘生长因子（PLGF），可溶性fms样酪氨酸激酶-1（sFlt-1）均单项目包装，可单独检测，不捆绑联检。</w:t>
      </w:r>
    </w:p>
    <w:p w14:paraId="1CCECA24">
      <w:pPr>
        <w:spacing w:before="276" w:line="229" w:lineRule="auto"/>
        <w:ind w:left="41"/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18.试剂重复性CV：≤ 10%,提供证明材料；试剂批间差CV：≤ 15%,提供证明材料；</w:t>
      </w:r>
    </w:p>
    <w:p w14:paraId="0696C92A">
      <w:pPr>
        <w:spacing w:before="276" w:line="229" w:lineRule="auto"/>
        <w:ind w:left="41"/>
        <w:rPr>
          <w:sz w:val="32"/>
          <w:szCs w:val="32"/>
        </w:rPr>
      </w:pPr>
      <w:r>
        <w:rPr>
          <w:rFonts w:hint="eastAsia" w:ascii="宋体" w:hAnsi="宋体" w:eastAsia="宋体" w:cs="宋体"/>
          <w:snapToGrid/>
          <w:kern w:val="2"/>
          <w:sz w:val="32"/>
          <w:szCs w:val="32"/>
          <w:lang w:val="en-US" w:eastAsia="zh-CN" w:bidi="ar-SA"/>
        </w:rPr>
        <w:t>19.试剂检测孵育时间：≤15分钟。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619D8"/>
    <w:rsid w:val="779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2025-05-20T02:24:00Z</dcterms:created>
  <dc:creator>Peaceminusone</dc:creator>
  <cp:lastModifiedBy>Peaceminusone</cp:lastModifiedBy>
  <dcterms:modified xsi:type="dcterms:W3CDTF">2025-05-20T02:25:10Z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43E2F3B243ED439EA5AABAB825B91C5F_11</vt:lpwstr>
  </property>
  <property fmtid="{D5CDD505-2E9C-101B-9397-08002B2CF9AE}" pid="4" name="KSOTemplateDocerSaveRecord">
    <vt:lpwstr>eyJoZGlkIjoiZmZhYjgwYmFiOWE4NjA4YWVkMDVkNTJhMDNjZjQwN2MiLCJ1c2VySWQiOiIyNTU0MDYzMDYifQ==</vt:lpwstr>
  </property>
</Properties>
</file>